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val="en-US" w:eastAsia="zh-CN"/>
        </w:rPr>
        <w:t>金龙电缆科技</w:t>
      </w:r>
      <w:r>
        <w:rPr>
          <w:rFonts w:hint="eastAsia"/>
          <w:b/>
          <w:bCs/>
          <w:sz w:val="44"/>
          <w:szCs w:val="44"/>
        </w:rPr>
        <w:t>有限公司</w:t>
      </w:r>
    </w:p>
    <w:p>
      <w:pPr>
        <w:jc w:val="center"/>
        <w:rPr>
          <w:b/>
          <w:bCs/>
          <w:sz w:val="44"/>
          <w:szCs w:val="44"/>
        </w:rPr>
      </w:pPr>
      <w:r>
        <w:rPr>
          <w:b/>
          <w:bCs/>
          <w:sz w:val="44"/>
          <w:szCs w:val="44"/>
        </w:rPr>
        <w:t>社会责任报告</w:t>
      </w:r>
    </w:p>
    <w:p>
      <w:pPr>
        <w:jc w:val="left"/>
        <w:rPr>
          <w:sz w:val="44"/>
          <w:szCs w:val="44"/>
        </w:rPr>
      </w:pPr>
    </w:p>
    <w:p>
      <w:pPr>
        <w:keepNext w:val="0"/>
        <w:keepLines w:val="0"/>
        <w:pageBreakBefore w:val="0"/>
        <w:kinsoku/>
        <w:wordWrap/>
        <w:overflowPunct/>
        <w:topLinePunct w:val="0"/>
        <w:autoSpaceDE/>
        <w:autoSpaceDN/>
        <w:bidi w:val="0"/>
        <w:snapToGrid/>
        <w:spacing w:line="56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一、公司治理制度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金龙电缆科技有限公司（以下简称“公司”）成立于1997年，是湖南第一家民营企业买断国有企业的成功案例，专注于电线电缆的研发、生产与销售，是国内线缆行业最具竞争力企业百强。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严格按照《公司法》和国家相关法律、法规、规章的要求，建立现代企业制度，完善法人治理结构，规范公司运作。公司秉承“做值得信赖的线缆制造商”的愿景，以独特的“漩涡力”经营哲学理论组成公司治理体系的核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董事会及其领导下的经营管理委员会为组织漩涡力核心（涡管），六大中心（涡束）平行运作围绕着两会核心进行高效运转，中心下设各职能专业模块，形成了以董事会、经营管理委员会、六大中心及各职能部门为主体机构的决策、执行、经营管理、有效监督等权利制衡系统，确保了公司生产经营等各项业务活动的健康运行，实现了公司的可持续健康发展。</w:t>
      </w:r>
    </w:p>
    <w:p>
      <w:pPr>
        <w:keepNext w:val="0"/>
        <w:keepLines w:val="0"/>
        <w:pageBreakBefore w:val="0"/>
        <w:kinsoku/>
        <w:wordWrap/>
        <w:overflowPunct/>
        <w:topLinePunct w:val="0"/>
        <w:autoSpaceDE/>
        <w:autoSpaceDN/>
        <w:bidi w:val="0"/>
        <w:snapToGrid/>
        <w:spacing w:line="56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二、公司发展</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b w:val="0"/>
          <w:kern w:val="2"/>
          <w:sz w:val="28"/>
          <w:szCs w:val="28"/>
          <w:lang w:val="en-US" w:eastAsia="zh-CN" w:bidi="ar-SA"/>
        </w:rPr>
      </w:pPr>
      <w:r>
        <w:rPr>
          <w:rFonts w:hint="eastAsia" w:ascii="仿宋" w:hAnsi="仿宋" w:eastAsia="仿宋" w:cs="仿宋"/>
          <w:sz w:val="28"/>
          <w:szCs w:val="28"/>
          <w:lang w:val="en-US" w:eastAsia="zh-CN"/>
        </w:rPr>
        <w:t>经过二十五年的执着耕耘，公司已成为</w:t>
      </w:r>
      <w:r>
        <w:rPr>
          <w:rFonts w:hint="eastAsia" w:ascii="仿宋" w:hAnsi="仿宋" w:eastAsia="仿宋" w:cs="仿宋"/>
          <w:sz w:val="28"/>
          <w:szCs w:val="28"/>
          <w:lang w:val="zh-CN" w:eastAsia="zh-CN"/>
        </w:rPr>
        <w:t>一家集电线电缆制造、有色金属新材料研发、铜铝产品精深加工、再生资源循环经济一体</w:t>
      </w:r>
      <w:r>
        <w:rPr>
          <w:rFonts w:hint="eastAsia" w:ascii="仿宋" w:hAnsi="仿宋" w:eastAsia="仿宋" w:cs="仿宋"/>
          <w:sz w:val="28"/>
          <w:szCs w:val="28"/>
          <w:lang w:val="en-US" w:eastAsia="zh-CN"/>
        </w:rPr>
        <w:t>化发展</w:t>
      </w:r>
      <w:r>
        <w:rPr>
          <w:rFonts w:hint="eastAsia" w:ascii="仿宋" w:hAnsi="仿宋" w:eastAsia="仿宋" w:cs="仿宋"/>
          <w:sz w:val="28"/>
          <w:szCs w:val="28"/>
          <w:lang w:val="zh-CN" w:eastAsia="zh-CN"/>
        </w:rPr>
        <w:t>的国家高新技术企业。</w:t>
      </w:r>
      <w:r>
        <w:rPr>
          <w:rFonts w:hint="eastAsia" w:ascii="仿宋" w:hAnsi="仿宋" w:eastAsia="仿宋" w:cs="仿宋"/>
          <w:b w:val="0"/>
          <w:kern w:val="2"/>
          <w:sz w:val="28"/>
          <w:szCs w:val="28"/>
          <w:lang w:val="en-US" w:eastAsia="zh-CN" w:bidi="ar-SA"/>
        </w:rPr>
        <w:t>公司营销网络覆盖全国，对国内</w:t>
      </w:r>
      <w:r>
        <w:rPr>
          <w:rFonts w:hint="eastAsia" w:ascii="仿宋" w:hAnsi="仿宋" w:eastAsia="仿宋" w:cs="仿宋"/>
          <w:b w:val="0"/>
          <w:kern w:val="2"/>
          <w:sz w:val="28"/>
          <w:szCs w:val="28"/>
          <w:lang w:val="zh-CN" w:eastAsia="zh-CN" w:bidi="ar-SA"/>
        </w:rPr>
        <w:t>市场</w:t>
      </w:r>
      <w:r>
        <w:rPr>
          <w:rFonts w:hint="eastAsia" w:ascii="仿宋" w:hAnsi="仿宋" w:eastAsia="仿宋" w:cs="仿宋"/>
          <w:b w:val="0"/>
          <w:kern w:val="2"/>
          <w:sz w:val="28"/>
          <w:szCs w:val="28"/>
          <w:lang w:val="en-US" w:eastAsia="zh-CN" w:bidi="ar-SA"/>
        </w:rPr>
        <w:t>按区域深耕细作，培育了湖南、广东、湖北、贵州、陕西等20多个重点区域市场。与长缆电工、华自科技等共同出资成立“能创科技有限公司”出海平台，将中国与“一带一路”国外的市场通过产品组合对接，将公司产业延伸出海，坚定“走出去”的发展战略。</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年来，公司依托企业院士专家工作站、省级企业技术中心、电线电缆国家安全性实验室等技术研发平台，先后与中南大学、湖南大学、西南交大、湘潭大学、上海线缆研究所等多家院校建立了战略合作关系，形成长期稳定的“产学研”合作机制。</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2021年，公司不断加大技术改造与投资，新建了1.65万平方米智能制造车间、1.5兆瓦光伏发电项目，获得长沙市科技创新先进企业、长沙市智能制造示范企业、长沙市工业小巨人、第二届长沙市市长质量奖提名奖、湖南省推进新型工业化一等奖、湖南省专精特新小巨人、第一届新湖南贡献奖、国家免检产品、中国驰名商标、国家专精特新“小巨人”企业、湖南省模范院士专家工作站等荣誉。 </w:t>
      </w:r>
    </w:p>
    <w:p>
      <w:pPr>
        <w:keepNext w:val="0"/>
        <w:keepLines w:val="0"/>
        <w:pageBreakBefore w:val="0"/>
        <w:kinsoku/>
        <w:wordWrap/>
        <w:overflowPunct/>
        <w:topLinePunct w:val="0"/>
        <w:autoSpaceDE/>
        <w:autoSpaceDN/>
        <w:bidi w:val="0"/>
        <w:snapToGrid/>
        <w:spacing w:line="56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三、产品管理</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公司从上至下牢固树立“质量就是生命，质量就是效益，用质量去竞争”的质量文化理念，构建了基于有色金属再生资源全生命周期管理的“三高三效”质量模式，该管理模式覆盖企业经营管理各个层面和各个维度。   </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公司面对市场需求变化越来越快，竞争越来越激烈，技术不断更新换代的新变化，制定了公司“十四五”产品战略规划，线缆产品向光伏、新能源充电桩、海工装备高端价值链迈进。公司继续全员导入卓越绩效管理体系，实现面向客户的需求管理，快速、合理响应客户需求，提高客户满意度。</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年来，公司生产的主要产品在湖南省市场监督管理局举办的湖南省重点工业产品质量监督专项抽查、国家质量监督检验检疫总局举办的国家监督专项抽查和国家强制性产品认证中，所抽查产品质量综合判定结果全部合格，各项指标均名列前茅。2022年获连续十年“产品质量监督抽查连续合格企业”荣誉证书。</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b/>
          <w:bCs/>
          <w:sz w:val="28"/>
          <w:szCs w:val="28"/>
        </w:rPr>
      </w:pPr>
      <w:r>
        <w:rPr>
          <w:rFonts w:hint="eastAsia" w:ascii="仿宋" w:hAnsi="仿宋" w:eastAsia="仿宋" w:cs="仿宋"/>
          <w:sz w:val="28"/>
          <w:szCs w:val="28"/>
          <w:lang w:val="en-US" w:eastAsia="zh-CN"/>
        </w:rPr>
        <w:t>公司自主研发的“高阻燃环保消防型电缆”获国家科学技术部“重点新产品奖”与“中国侨界贡献创新奖”。2022年，公司自主研发生产的高端家装智选电线系列产品受到市场青睐，光伏专用电缆获得德国莱茵TÜV权威认证。</w:t>
      </w:r>
    </w:p>
    <w:p>
      <w:pPr>
        <w:keepNext w:val="0"/>
        <w:keepLines w:val="0"/>
        <w:pageBreakBefore w:val="0"/>
        <w:kinsoku/>
        <w:wordWrap/>
        <w:overflowPunct/>
        <w:topLinePunct w:val="0"/>
        <w:autoSpaceDE/>
        <w:autoSpaceDN/>
        <w:bidi w:val="0"/>
        <w:snapToGrid/>
        <w:spacing w:line="560" w:lineRule="exact"/>
        <w:ind w:firstLine="562" w:firstLineChars="200"/>
        <w:jc w:val="lef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rPr>
        <w:t>四、</w:t>
      </w:r>
      <w:r>
        <w:rPr>
          <w:rFonts w:hint="eastAsia" w:ascii="仿宋" w:hAnsi="仿宋" w:eastAsia="仿宋" w:cs="仿宋"/>
          <w:b/>
          <w:bCs/>
          <w:sz w:val="28"/>
          <w:szCs w:val="28"/>
          <w:lang w:val="en-US" w:eastAsia="zh-CN"/>
        </w:rPr>
        <w:t>员工发展</w:t>
      </w:r>
    </w:p>
    <w:p>
      <w:pPr>
        <w:keepNext w:val="0"/>
        <w:keepLines w:val="0"/>
        <w:pageBreakBefore w:val="0"/>
        <w:kinsoku/>
        <w:wordWrap/>
        <w:overflowPunct/>
        <w:topLinePunct w:val="0"/>
        <w:autoSpaceDE/>
        <w:autoSpaceDN/>
        <w:bidi w:val="0"/>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公司率先在民营企业</w:t>
      </w:r>
      <w:r>
        <w:rPr>
          <w:rFonts w:hint="eastAsia" w:ascii="仿宋" w:hAnsi="仿宋" w:eastAsia="仿宋" w:cs="仿宋"/>
          <w:sz w:val="28"/>
          <w:szCs w:val="28"/>
          <w:lang w:val="en-US" w:eastAsia="zh-CN"/>
        </w:rPr>
        <w:t>以</w:t>
      </w:r>
      <w:r>
        <w:rPr>
          <w:rFonts w:hint="eastAsia" w:ascii="仿宋" w:hAnsi="仿宋" w:eastAsia="仿宋" w:cs="仿宋"/>
          <w:sz w:val="28"/>
          <w:szCs w:val="28"/>
        </w:rPr>
        <w:t>党建融入企业文化的方式落实党的方针政策，形成“经营与党团工会融合”促发展的模式</w:t>
      </w:r>
      <w:r>
        <w:rPr>
          <w:rFonts w:hint="eastAsia" w:ascii="仿宋" w:hAnsi="仿宋" w:eastAsia="仿宋" w:cs="仿宋"/>
          <w:sz w:val="28"/>
          <w:szCs w:val="28"/>
          <w:lang w:eastAsia="zh-CN"/>
        </w:rPr>
        <w:t>，</w:t>
      </w:r>
      <w:r>
        <w:rPr>
          <w:rFonts w:hint="eastAsia" w:ascii="仿宋" w:hAnsi="仿宋" w:eastAsia="仿宋" w:cs="仿宋"/>
          <w:sz w:val="28"/>
          <w:szCs w:val="28"/>
        </w:rPr>
        <w:t>构建了员工红色晋升与能力晋升双轨机制，助力企业生产力提升。党建为员工提供红色晋升通道，坚持把优秀员工培养成党员，把党员培养成骨干，把党员骨干培养成公司高级管理者，把优秀的党员高管培养成卓越管理者</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公司</w:t>
      </w:r>
      <w:r>
        <w:rPr>
          <w:rFonts w:hint="eastAsia" w:ascii="仿宋" w:hAnsi="仿宋" w:eastAsia="仿宋" w:cs="仿宋"/>
          <w:sz w:val="28"/>
          <w:szCs w:val="28"/>
        </w:rPr>
        <w:t>在党建引领中，优秀共产党员示范岗龙程的“用心守护金龙与客户利益”的故事被公司公众号推发，在公司内外引起强烈反响。优秀共产党员示范岗罗进的故事被长沙电视台拍成“车间里的大角色”之专题节目进行全网播发，点击率突破30万人次。“标准纾困”助力金龙电缆“标准领跑”的党建纾困成果受到湖南省市场监管局官方网站的推发，并受到国家市场监管总局的关注。2021年，公司荣获湖南省落实“三高四新”战略百强企业，荣获全省市场监管系统非公有制经济先进基层党组织，公司党总支书记赵丽萍</w:t>
      </w:r>
      <w:r>
        <w:rPr>
          <w:rFonts w:hint="eastAsia" w:ascii="仿宋" w:hAnsi="仿宋" w:eastAsia="仿宋" w:cs="仿宋"/>
          <w:sz w:val="28"/>
          <w:szCs w:val="28"/>
          <w:lang w:val="en-US" w:eastAsia="zh-CN"/>
        </w:rPr>
        <w:t>入选</w:t>
      </w:r>
      <w:r>
        <w:rPr>
          <w:rFonts w:hint="eastAsia" w:ascii="仿宋" w:hAnsi="仿宋" w:eastAsia="仿宋" w:cs="仿宋"/>
          <w:sz w:val="28"/>
          <w:szCs w:val="28"/>
        </w:rPr>
        <w:t>湖南省非公综合党委委员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省优秀共产党员</w:t>
      </w:r>
      <w:r>
        <w:rPr>
          <w:rFonts w:hint="eastAsia" w:ascii="仿宋" w:hAnsi="仿宋" w:eastAsia="仿宋" w:cs="仿宋"/>
          <w:sz w:val="28"/>
          <w:szCs w:val="28"/>
        </w:rPr>
        <w:t>，董事长毛冰花荣膺支持党建工作优秀企业家和第一届新湖南贡献奖。</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设立了专项培训基金，每年组织员工参加各类职业技能课程培训、开展人才梯队培养项目活动、组织员工技能大赛等，优胜者给予奖励，并与员工的岗位晋升挂钩。2021年，为提升组织效率，提升经营能力，加强后备梯队的建设，打造组织人才队伍，保障企业长足稳健发展，公司与专业培训机构签订合作协议，成立组织效率提升特训营，全年培训100多场，培训投入120万元，用以重点培养公司的年青骨干后备力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eastAsia="仿宋"/>
          <w:lang w:val="en-US" w:eastAsia="zh-CN"/>
        </w:rPr>
      </w:pPr>
      <w:r>
        <w:rPr>
          <w:rFonts w:hint="eastAsia" w:ascii="仿宋" w:hAnsi="仿宋" w:eastAsia="仿宋" w:cs="仿宋"/>
          <w:sz w:val="28"/>
          <w:szCs w:val="28"/>
          <w:lang w:val="en-US" w:eastAsia="zh-CN"/>
        </w:rPr>
        <w:t>2022年</w:t>
      </w:r>
      <w:r>
        <w:rPr>
          <w:rFonts w:hint="eastAsia" w:ascii="仿宋" w:hAnsi="仿宋" w:eastAsia="仿宋" w:cs="仿宋"/>
          <w:sz w:val="28"/>
          <w:szCs w:val="28"/>
        </w:rPr>
        <w:t>，金龙以职工书屋为依托，通过线上线下相结合的方式，</w:t>
      </w:r>
      <w:r>
        <w:rPr>
          <w:rFonts w:hint="eastAsia" w:ascii="仿宋" w:hAnsi="仿宋" w:eastAsia="仿宋" w:cs="仿宋"/>
          <w:sz w:val="28"/>
          <w:szCs w:val="28"/>
          <w:lang w:val="en-US" w:eastAsia="zh-CN"/>
        </w:rPr>
        <w:t>面向全员，开设系列职场精品课,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卓越领导力”、</w:t>
      </w:r>
      <w:r>
        <w:rPr>
          <w:rFonts w:hint="eastAsia" w:ascii="仿宋" w:hAnsi="仿宋" w:eastAsia="仿宋" w:cs="仿宋"/>
          <w:sz w:val="28"/>
          <w:szCs w:val="28"/>
        </w:rPr>
        <w:t>“质量</w:t>
      </w:r>
      <w:r>
        <w:rPr>
          <w:rFonts w:hint="eastAsia" w:ascii="仿宋" w:hAnsi="仿宋" w:eastAsia="仿宋" w:cs="仿宋"/>
          <w:sz w:val="28"/>
          <w:szCs w:val="28"/>
          <w:lang w:val="en-US" w:eastAsia="zh-CN"/>
        </w:rPr>
        <w:t>管理</w:t>
      </w:r>
      <w:r>
        <w:rPr>
          <w:rFonts w:hint="eastAsia" w:ascii="仿宋" w:hAnsi="仿宋" w:eastAsia="仿宋" w:cs="仿宋"/>
          <w:sz w:val="28"/>
          <w:szCs w:val="28"/>
        </w:rPr>
        <w:t>”、“即兴演讲</w:t>
      </w:r>
      <w:r>
        <w:rPr>
          <w:rFonts w:hint="eastAsia" w:ascii="仿宋" w:hAnsi="仿宋" w:eastAsia="仿宋" w:cs="仿宋"/>
          <w:sz w:val="28"/>
          <w:szCs w:val="28"/>
          <w:lang w:val="en-US" w:eastAsia="zh-CN"/>
        </w:rPr>
        <w:t>技巧</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商务谈判”、</w:t>
      </w:r>
      <w:r>
        <w:rPr>
          <w:rFonts w:hint="eastAsia" w:ascii="仿宋" w:hAnsi="仿宋" w:eastAsia="仿宋" w:cs="仿宋"/>
          <w:sz w:val="28"/>
          <w:szCs w:val="28"/>
        </w:rPr>
        <w:t>“音乐党建课”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讲解员特训营”“职场中的说与写”等系列课程</w:t>
      </w:r>
      <w:r>
        <w:rPr>
          <w:rFonts w:hint="eastAsia" w:ascii="仿宋" w:hAnsi="仿宋" w:eastAsia="仿宋" w:cs="仿宋"/>
          <w:sz w:val="28"/>
          <w:szCs w:val="28"/>
        </w:rPr>
        <w:t>，</w:t>
      </w:r>
      <w:r>
        <w:rPr>
          <w:rFonts w:hint="eastAsia" w:ascii="仿宋" w:hAnsi="仿宋" w:eastAsia="仿宋" w:cs="仿宋"/>
          <w:sz w:val="28"/>
          <w:szCs w:val="28"/>
          <w:lang w:val="en-US" w:eastAsia="zh-CN"/>
        </w:rPr>
        <w:t>成</w:t>
      </w:r>
      <w:r>
        <w:rPr>
          <w:rFonts w:hint="eastAsia" w:ascii="仿宋" w:hAnsi="仿宋" w:eastAsia="仿宋" w:cs="Times New Roman"/>
          <w:kern w:val="2"/>
          <w:sz w:val="28"/>
          <w:szCs w:val="28"/>
          <w:lang w:val="en-US" w:eastAsia="zh-CN" w:bidi="ar-SA"/>
        </w:rPr>
        <w:t>为金龙员工职场“充电站”。</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制定一系列优惠政策，招贤纳士、引进人才。通过人才引进措施，2021年公司从中南大学、湖南大学、湘潭大学等国内著名高校引进了大专以上学历、中高级技术职称的专业人才100余名，引进博士、硕士等高端专业人才数名，为企业的科技创新发展提供了人才保障。</w:t>
      </w:r>
    </w:p>
    <w:p>
      <w:pPr>
        <w:keepNext w:val="0"/>
        <w:keepLines w:val="0"/>
        <w:pageBreakBefore w:val="0"/>
        <w:kinsoku/>
        <w:wordWrap/>
        <w:overflowPunct/>
        <w:topLinePunct w:val="0"/>
        <w:autoSpaceDE/>
        <w:autoSpaceDN/>
        <w:bidi w:val="0"/>
        <w:snapToGrid/>
        <w:spacing w:line="56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五、环境保护</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公司始终奉行“给资源无限生命、给地球再造一片绿地”的循环经济运营理念，把节能降耗、环境保护、安全生产、资源综合利用等作为最基本的责任。2021年公司获评湖南省绿色工厂，并按照国家级绿色工厂的建设标准，不断推进线缆制造业的绿色转型升级。</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强烈地绿色环保意识促进了线缆上下游产业向绿色、低碳可持续方向发展，拉动了金龙集团全产业链的构建，形成金龙与客户之间的“再生铜生产-再生铜回收-再生铜生产”循环产业链的全生命周期管理的绿色联盟，促进了资源利用效率的提升。金龙电缆对原材料再生铜的利用，相比原生铜生产，每吨再生铜相当于节能1054千克标煤、节水395立方米、减少固体废物排放380吨、减少排放二氧化硫0.137吨。金龙电缆对再生铜的需求，带动了产业链上游金龙铜业等企业的快速发展，金龙铜业已累计生产再生铜60万吨，相当减少标煤63.24万吨，节水23.7万吨，减少二氧化碳排放156万吨，相当植树造林6.4万亩，对环境保护和节能减排具有重要意义。</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2012年，公司在国内首创“产业+金融+互联网”的模式，自主开发“有色金属产业服务平台”，大力发展“金属回收—再生资源—精深加工—高新产品—金融物流”为一体的有色金属循环经济产业链，通过循环经济产业与金融、互联网的深度融合，建设再生资源回收体系网络，实现跨地域、多领域的资源整合，形成产业链上下游利润共享、风险共担的新机制。</w:t>
      </w:r>
    </w:p>
    <w:p>
      <w:pPr>
        <w:keepNext w:val="0"/>
        <w:keepLines w:val="0"/>
        <w:pageBreakBefore w:val="0"/>
        <w:numPr>
          <w:ilvl w:val="0"/>
          <w:numId w:val="0"/>
        </w:numPr>
        <w:kinsoku/>
        <w:wordWrap/>
        <w:overflowPunct/>
        <w:topLinePunct w:val="0"/>
        <w:autoSpaceDE/>
        <w:autoSpaceDN/>
        <w:bidi w:val="0"/>
        <w:snapToGrid/>
        <w:spacing w:line="56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六、社会公益</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“饮水思源，回馈社会”，公司积极履行社会责任，每年不定期发布社会责任报告，积极参与抗击疫情、尊教助学、精准扶贫等公益慈善事业。</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2021年5月，金龙在湖南省华侨公益基金会设立200万元“金龙专项基金”，用于支持公益事业。2021年7月 ，金龙党总支、金龙工会及公司员工向河南洪涝灾区募集款项8万余元，全部捐往灾区一线。2022年5月，公司在湘潭大学设立“金龙奖学金”，双方通过联合培养或定向委培等方式，达到为高校解决就业，为公司输送高技术人才的双赢局面。2022年9月，公司向湘潭市雨湖区捐款100万元用于道路建设。</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成立至今，在拥军拥属、扶贫济困、教育帮扶、抗洪及抗震救灾、新冠肺炎抗疫等方面累计捐赠物资及现金两千万元以上，并通过建立有效的组织来提高服务、奉献社会的价值和效率，倡导公益精神，传递企业爱心。</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金龙电缆科技有限公司</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lang w:val="en-US" w:eastAsia="zh-CN"/>
        </w:rPr>
        <w:t xml:space="preserve">       二〇二二年九月二十八日</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EAC4C"/>
    <w:multiLevelType w:val="multilevel"/>
    <w:tmpl w:val="BB3EAC4C"/>
    <w:lvl w:ilvl="0" w:tentative="0">
      <w:start w:val="1"/>
      <w:numFmt w:val="chineseCounting"/>
      <w:suff w:val="nothing"/>
      <w:lvlText w:val="%1、"/>
      <w:lvlJc w:val="left"/>
      <w:pPr>
        <w:ind w:left="0" w:firstLine="0"/>
      </w:pPr>
      <w:rPr>
        <w:rFonts w:hint="eastAsia"/>
      </w:rPr>
    </w:lvl>
    <w:lvl w:ilvl="1" w:tentative="0">
      <w:start w:val="1"/>
      <w:numFmt w:val="chineseCounting"/>
      <w:pStyle w:val="2"/>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18"/>
    <w:rsid w:val="00332688"/>
    <w:rsid w:val="003E1285"/>
    <w:rsid w:val="004A6A33"/>
    <w:rsid w:val="00524938"/>
    <w:rsid w:val="005F7EBB"/>
    <w:rsid w:val="0066609A"/>
    <w:rsid w:val="008B2318"/>
    <w:rsid w:val="00B000EB"/>
    <w:rsid w:val="00B654CD"/>
    <w:rsid w:val="00BF3FBC"/>
    <w:rsid w:val="02D9208A"/>
    <w:rsid w:val="0401062A"/>
    <w:rsid w:val="04020464"/>
    <w:rsid w:val="06602E75"/>
    <w:rsid w:val="06D10656"/>
    <w:rsid w:val="08462DC6"/>
    <w:rsid w:val="08B4295E"/>
    <w:rsid w:val="08D47215"/>
    <w:rsid w:val="0BFA4058"/>
    <w:rsid w:val="0D1521E6"/>
    <w:rsid w:val="0D1E55A5"/>
    <w:rsid w:val="0D896225"/>
    <w:rsid w:val="0F5C3753"/>
    <w:rsid w:val="117A5F41"/>
    <w:rsid w:val="11E63477"/>
    <w:rsid w:val="129B3458"/>
    <w:rsid w:val="16FD707A"/>
    <w:rsid w:val="17757CE1"/>
    <w:rsid w:val="186F00D6"/>
    <w:rsid w:val="1A7C7711"/>
    <w:rsid w:val="1B5F3B73"/>
    <w:rsid w:val="1D5A5DF9"/>
    <w:rsid w:val="1D996FF5"/>
    <w:rsid w:val="1F5822D0"/>
    <w:rsid w:val="1FB32B26"/>
    <w:rsid w:val="22FA4E7F"/>
    <w:rsid w:val="25996554"/>
    <w:rsid w:val="281B40DC"/>
    <w:rsid w:val="2AE66CCA"/>
    <w:rsid w:val="2C981D98"/>
    <w:rsid w:val="2DE51E7F"/>
    <w:rsid w:val="2FCA550F"/>
    <w:rsid w:val="30CD51E2"/>
    <w:rsid w:val="34E77610"/>
    <w:rsid w:val="35991627"/>
    <w:rsid w:val="39134E30"/>
    <w:rsid w:val="3A466EDE"/>
    <w:rsid w:val="3B2D07CB"/>
    <w:rsid w:val="3BC45207"/>
    <w:rsid w:val="3D4D7387"/>
    <w:rsid w:val="3FB728B2"/>
    <w:rsid w:val="41966908"/>
    <w:rsid w:val="46435D7E"/>
    <w:rsid w:val="47A2482B"/>
    <w:rsid w:val="493B7E5E"/>
    <w:rsid w:val="49511EF5"/>
    <w:rsid w:val="4A8A154C"/>
    <w:rsid w:val="4DF132CF"/>
    <w:rsid w:val="4E50774C"/>
    <w:rsid w:val="50143254"/>
    <w:rsid w:val="50B81B3E"/>
    <w:rsid w:val="53122BC1"/>
    <w:rsid w:val="5343495D"/>
    <w:rsid w:val="53437F10"/>
    <w:rsid w:val="5B7B4839"/>
    <w:rsid w:val="5BF42BD9"/>
    <w:rsid w:val="602A3719"/>
    <w:rsid w:val="66E22557"/>
    <w:rsid w:val="67B27DA8"/>
    <w:rsid w:val="69E026C6"/>
    <w:rsid w:val="6A5964A6"/>
    <w:rsid w:val="6A5C0DBA"/>
    <w:rsid w:val="6A735674"/>
    <w:rsid w:val="6B9739B6"/>
    <w:rsid w:val="6DD418EB"/>
    <w:rsid w:val="6F967D57"/>
    <w:rsid w:val="729B67CE"/>
    <w:rsid w:val="740563A2"/>
    <w:rsid w:val="75021FB3"/>
    <w:rsid w:val="77340A46"/>
    <w:rsid w:val="777065DC"/>
    <w:rsid w:val="77B64085"/>
    <w:rsid w:val="7A46732A"/>
    <w:rsid w:val="7E355BE2"/>
    <w:rsid w:val="7F7D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line="240" w:lineRule="auto"/>
      <w:outlineLvl w:val="1"/>
    </w:pPr>
    <w:rPr>
      <w:rFonts w:ascii="Arial" w:hAnsi="Arial" w:eastAsia="黑体" w:cs="Arial"/>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numPr>
        <w:ilvl w:val="1"/>
        <w:numId w:val="1"/>
      </w:numPr>
      <w:spacing w:before="260" w:after="260" w:line="413" w:lineRule="auto"/>
      <w:ind w:left="0" w:firstLine="0"/>
      <w:jc w:val="both"/>
      <w:textAlignment w:val="baseline"/>
    </w:pPr>
    <w:rPr>
      <w:rFonts w:ascii="Arial" w:hAnsi="Arial" w:eastAsia="黑体"/>
      <w:b/>
      <w:kern w:val="2"/>
      <w:sz w:val="32"/>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242</Words>
  <Characters>1384</Characters>
  <Lines>11</Lines>
  <Paragraphs>3</Paragraphs>
  <TotalTime>7</TotalTime>
  <ScaleCrop>false</ScaleCrop>
  <LinksUpToDate>false</LinksUpToDate>
  <CharactersWithSpaces>1623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2018-06-29T03:08:00Z</dcterms:created>
  <dc:creator>Administrator</dc:creator>
  <cp:lastModifiedBy>山的那一边</cp:lastModifiedBy>
  <cp:lastPrinted>2022-09-30T07:15:36Z</cp:lastPrinted>
  <dcterms:modified xsi:type="dcterms:W3CDTF">2022-09-30T07:15:42Z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5C6E27624FF24E5D989779CADA16913B</vt:lpwstr>
  </property>
</Properties>
</file>